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УТВЕРЖДЕНА</w:t>
      </w:r>
      <w:r>
        <w:br/>
      </w:r>
      <w:r>
        <w:t xml:space="preserve">решением </w:t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ДОЛЖНОСТНАЯ ИНСТРУКЦИЯ</w:t>
      </w:r>
      <w:r>
        <w:br/>
      </w:r>
      <w:r>
        <w:rPr>
          <w:b/>
          <w:sz w:val="26"/>
          <w:szCs w:val="26"/>
        </w:rPr>
        <w:t xml:space="preserve">ГЕНЕРАЛЬНОГО ДИРЕКТОРА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Генеральный директор — единоличный исполнительный орган общества. Он избирается </w:t>
      </w:r>
      <w:r>
        <w:t xml:space="preserve">________</w:t>
      </w:r>
      <w:r>
        <w:t xml:space="preserve"> на срок </w:t>
      </w:r>
      <w:r>
        <w:t xml:space="preserve">________</w:t>
      </w:r>
      <w:r>
        <w:t xml:space="preserve">, установленный уставом (ст. 40 закона № 14-ФЗ «Об обществах с ограниченной ответственностью»).</w:t>
      </w:r>
    </w:p>
    <w:p>
      <w:pPr>
        <w:spacing w:before="0" w:after="80"/>
        <w:jc w:val="both"/>
      </w:pPr>
      <w:r>
        <w:t xml:space="preserve">1.2. Трудовой договор с генеральным директором от имени общества подписывает </w:t>
      </w:r>
      <w:r>
        <w:t xml:space="preserve">________</w:t>
      </w:r>
      <w:r>
        <w:t xml:space="preserve">. Совмещение должности в органах управления других организаций — только с согласия </w:t>
      </w:r>
      <w:r>
        <w:t xml:space="preserve">________</w:t>
      </w:r>
      <w:r>
        <w:t xml:space="preserve"> (ст. 276 ТК РФ).</w:t>
      </w:r>
    </w:p>
    <w:p>
      <w:pPr>
        <w:spacing w:before="0" w:after="80"/>
        <w:jc w:val="both"/>
      </w:pPr>
      <w:r>
        <w:t xml:space="preserve">1.3. На должность не может быть назначено лицо, дисквалифицированное по ст. 3.11 КоАП РФ, или лицо, которому эта деятельность запрещена приговором суда. Требования к образованию и опыту: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1.4. Генеральный директор руководствуется законодательством РФ, уставом, решениями общего собрания участников</w:t>
      </w:r>
      <w:r>
        <w:t xml:space="preserve">________</w:t>
      </w:r>
      <w:r>
        <w:t xml:space="preserve">, внутренними документами общества и настоящей инструкцией.</w:t>
      </w:r>
    </w:p>
    <w:p>
      <w:pPr>
        <w:keepNext/>
        <w:spacing w:before="200" w:after="100"/>
        <w:jc w:val="center"/>
      </w:pPr>
      <w:r>
        <w:rPr>
          <w:b/>
        </w:rPr>
        <w:t xml:space="preserve">2. Компетенция и обязанности</w:t>
      </w:r>
    </w:p>
    <w:p>
      <w:pPr>
        <w:spacing w:before="0" w:after="80"/>
        <w:jc w:val="both"/>
      </w:pPr>
      <w:r>
        <w:t xml:space="preserve">2.1. Без доверенности действует от имени общества, представляет его интересы и совершает сделки, за исключением сделок, требующих одобрения общего собрания или совета директоров (крупные сделки, сделки с заинтересованностью — ст. 45, 46 закона № 14-ФЗ, а также сделки, ограниченные уставом).</w:t>
      </w:r>
    </w:p>
    <w:p>
      <w:pPr>
        <w:spacing w:before="0" w:after="80"/>
        <w:jc w:val="both"/>
      </w:pPr>
      <w:r>
        <w:t xml:space="preserve">2.2. Выдаёт доверенности, издаёт приказы о назначении работников, их переводе и увольнении, применяет меры поощрения и взыскания, утверждает штатное расписание и локальные нормативные акты, если это не отнесено к компетенции других органов.</w:t>
      </w:r>
    </w:p>
    <w:p>
      <w:pPr>
        <w:spacing w:before="0" w:after="80"/>
        <w:jc w:val="both"/>
      </w:pPr>
      <w:r>
        <w:t xml:space="preserve">2.3. Организует ведение бухгалтерского учёта и представление отчётности (ст. 7 закона № 402-ФЗ), исполнение налоговых обязанностей, хранение документов общества (ст. 50 закона № 14-ФЗ), ведение списка участников.</w:t>
      </w:r>
    </w:p>
    <w:p>
      <w:pPr>
        <w:spacing w:before="0" w:after="80"/>
        <w:jc w:val="both"/>
      </w:pPr>
      <w:r>
        <w:t xml:space="preserve">2.4. Обеспечивает подготовку и проведение общих собраний участников, в том числе очередного — в срок, установленный уставом, но не ранее чем через два месяца и не позднее чем через четыре месяца после окончания финансового года (ст. 34 закона № 14-ФЗ); исполняет решения органов общества.</w:t>
      </w:r>
    </w:p>
    <w:p>
      <w:pPr>
        <w:spacing w:before="0" w:after="80"/>
        <w:jc w:val="both"/>
      </w:pPr>
      <w:r>
        <w:t xml:space="preserve">2.5. Обеспечивает безопасные условия труда, своевременную выплату заработной платы, соблюдение трудового законодательства, законодательства о персональных данных, противодействии легализации доходов и о противодействии коррупции (ст. 13.3 закона № 273-ФЗ).</w:t>
      </w:r>
    </w:p>
    <w:p>
      <w:pPr>
        <w:spacing w:before="0" w:after="80"/>
        <w:jc w:val="both"/>
      </w:pPr>
      <w:r>
        <w:t xml:space="preserve">2.6. В течение трёх рабочих дней сообщает о сведениях, подлежащих внесению в ЕГРЮЛ, и обеспечивает их достоверность (ст. 5, 17 закона № 129-ФЗ). При признаках неплатёжеспособности, указанных в ст. 9 закона № 127-ФЗ, обращается в арбитражный суд с заявлением о банкротстве в течение месяца; неисполнение влечёт субсидиарную ответственность (ст. 61.12 закона № 127-ФЗ).</w:t>
      </w:r>
    </w:p>
    <w:p>
      <w:pPr>
        <w:keepNext/>
        <w:spacing w:before="200" w:after="100"/>
        <w:jc w:val="center"/>
      </w:pPr>
      <w:r>
        <w:rPr>
          <w:b/>
        </w:rPr>
        <w:t xml:space="preserve">3. Права</w:t>
      </w:r>
    </w:p>
    <w:p>
      <w:pPr>
        <w:spacing w:before="0" w:after="80"/>
        <w:jc w:val="both"/>
      </w:pPr>
      <w:r>
        <w:t xml:space="preserve">3.1. Решать все вопросы деятельности общества, не отнесённые законом и уставом к компетенции общего собрания</w:t>
      </w:r>
      <w:r>
        <w:t xml:space="preserve">________</w:t>
      </w:r>
      <w:r>
        <w:t xml:space="preserve">; распоряжаться имуществом общества в пределах своей компетенции; открывать счета; подписывать документы.</w:t>
      </w:r>
    </w:p>
    <w:p>
      <w:pPr>
        <w:spacing w:before="0" w:after="80"/>
        <w:jc w:val="both"/>
      </w:pPr>
      <w:r>
        <w:t xml:space="preserve">3.2. Созывать внеочередное общее собрание участников в случаях, предусмотренных законом.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</w:t>
      </w:r>
    </w:p>
    <w:p>
      <w:pPr>
        <w:spacing w:before="0" w:after="80"/>
        <w:jc w:val="both"/>
      </w:pPr>
      <w:r>
        <w:t xml:space="preserve">4.1. Генеральный директор действует в интересах общества добросовестно и разумно и обязан возместить по требованию общества или его участников убытки, причинённые по его вине (ст. 53.1 ГК РФ, ст. 44 закона № 14-ФЗ).</w:t>
      </w:r>
    </w:p>
    <w:p>
      <w:pPr>
        <w:spacing w:before="0" w:after="80"/>
        <w:jc w:val="both"/>
      </w:pPr>
      <w:r>
        <w:t xml:space="preserve">4.2. Несёт полную материальную ответственность за прямой действительный ущерб, причинённый обществу (ст. 277 ТК РФ), а также административную и уголовную ответственность в случаях, предусмотренных законом.</w:t>
      </w:r>
    </w:p>
    <w:p>
      <w:pPr>
        <w:keepNext/>
        <w:spacing w:before="200" w:after="100"/>
        <w:jc w:val="center"/>
      </w:pPr>
      <w:r>
        <w:rPr>
          <w:b/>
        </w:rPr>
        <w:t xml:space="preserve">5. Заключительные положения</w:t>
      </w:r>
    </w:p>
    <w:p>
      <w:pPr>
        <w:spacing w:before="0" w:after="80"/>
        <w:jc w:val="both"/>
      </w:pPr>
      <w:r>
        <w:t xml:space="preserve">5.1. Инструкция является приложением к трудовому договору. Изменения утверждает орган, утвердивший инструкцию.</w:t>
      </w:r>
    </w:p>
    <w:p>
      <w:pPr>
        <w:spacing w:before="0" w:after="80"/>
        <w:jc w:val="both"/>
      </w:pPr>
      <w:r>
        <w:t xml:space="preserve">С инструкцией ознакомлен(а): ________________ / </w:t>
      </w:r>
      <w:r>
        <w:t xml:space="preserve">________</w:t>
      </w:r>
      <w:r>
        <w:t xml:space="preserve"> / </w:t>
      </w:r>
      <w:r>
        <w:t xml:space="preserve">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генерального директора</dc:title>
  <dc:subject>Образец документа с сайта online-Документы: https://online-document.ru/document/94-dolzhnostnaya-instruktsiya-generalnogo-direktora/</dc:subject>
  <dc:creator>online-Документы (online-document.ru)</dc:creator>
  <cp:keywords>образец, шаблон, online-document.ru</cp:keywords>
  <dc:description>Источник: https://online-document.ru/document/94-dolzhnostnaya-instruktsiya-generalnogo-direktora/ © online-Документы. Использование материалов сайта — по правилам: https://online-document.ru/pravila/</dc:description>
  <dc:identifier>https://online-document.ru/document/94-dolzhnostnaya-instruktsiya-generalnogo-direktora/</dc:identifier>
  <dc:language>ru-RU</dc:language>
  <dcterms:created xsi:type="dcterms:W3CDTF">2026-11-03T11:01:14Z</dcterms:created>
  <dcterms:modified xsi:type="dcterms:W3CDTF">2026-11-03T11:05:53Z</dcterms:modified>
</cp:coreProperties>
</file>