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приказом </w:t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t xml:space="preserve"> №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об обработке и защите персональных данных в </w:t>
      </w:r>
      <w:r>
        <w:rPr>
          <w:b/>
          <w:sz w:val="26"/>
          <w:szCs w:val="26"/>
        </w:rPr>
        <w:t xml:space="preserve">________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Положение определяет политику оператора — </w:t>
      </w:r>
      <w:r>
        <w:t xml:space="preserve">________</w:t>
      </w:r>
      <w:r>
        <w:t xml:space="preserve"> — в отношении обработки персональных данных и меры по их защите (ст. 18.1 закона № 152-ФЗ «О персональных данных»). Политика опубликована на сайте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1.2. Ответственный за организацию обработки персональных данных: </w:t>
      </w:r>
      <w:r>
        <w:t xml:space="preserve">________</w:t>
      </w:r>
      <w:r>
        <w:t xml:space="preserve">. Организация подала в Роскомнадзор уведомление об обработке персональных данных </w:t>
      </w:r>
      <w:r>
        <w:t xml:space="preserve">________</w:t>
      </w:r>
      <w:r>
        <w:t xml:space="preserve"> (ст. 22 закона № 152-ФЗ).</w:t>
      </w:r>
    </w:p>
    <w:p>
      <w:pPr>
        <w:keepNext/>
        <w:spacing w:before="200" w:after="100"/>
        <w:jc w:val="center"/>
      </w:pPr>
      <w:r>
        <w:rPr>
          <w:b/>
        </w:rPr>
        <w:t xml:space="preserve">2. Субъекты, цели и основания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Субъекты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Цели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Срок хранения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Работники и их родственники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Исполнение трудового договора, налоговый и воинский учёт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ТК РФ, НК РФ, договор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По срокам хранения кадровых документов (до 50/75 лет)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Кандидаты на работу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Подбор персонала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Согласие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Клиенты и их представители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Заключение и исполнение договоров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Договор (п. 5 ч. 1 ст. 6 закона № 152-ФЗ)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5 лет после окончания договора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Посетители сайта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Согласие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2.1. Обработка ограничивается достижением заранее определённых целей; не допускается обработка данных, избыточных по отношению к целям (ст. 5 закона № 152-ФЗ). Специальные категории и биометрические данные обрабатываются только в случаях ст. 10, 11 закона.</w:t>
      </w:r>
    </w:p>
    <w:p>
      <w:pPr>
        <w:spacing w:before="0" w:after="80"/>
        <w:jc w:val="both"/>
      </w:pPr>
      <w:r>
        <w:t xml:space="preserve">2.2. Согласие на обработку, если оно требуется, оформляется отдельно от иных документов (ч. 1 ст. 9 закона № 152-ФЗ, с 01.09.2025). Согласие на распространение — отдельным документом (ст. 10.1).</w:t>
      </w:r>
    </w:p>
    <w:p>
      <w:pPr>
        <w:keepNext/>
        <w:spacing w:before="200" w:after="100"/>
        <w:jc w:val="center"/>
      </w:pPr>
      <w:r>
        <w:rPr>
          <w:b/>
        </w:rPr>
        <w:t xml:space="preserve">3. Права субъектов</w:t>
      </w:r>
    </w:p>
    <w:p>
      <w:pPr>
        <w:spacing w:before="0" w:after="80"/>
        <w:jc w:val="both"/>
      </w:pPr>
      <w:r>
        <w:t xml:space="preserve">3.1. Ответ на запрос субъекта о его данных предоставляется в течение 10 рабочих дней с возможностью продления не более чем на 5 рабочих дней с уведомлением о причинах (ст. 14, 20 закона № 152-ФЗ). При отзыве согласия обработка прекращается, а данные уничтожаются в течение 30 дней, если нет иных законных оснований.</w:t>
      </w:r>
    </w:p>
    <w:p>
      <w:pPr>
        <w:keepNext/>
        <w:spacing w:before="200" w:after="100"/>
        <w:jc w:val="center"/>
      </w:pPr>
      <w:r>
        <w:rPr>
          <w:b/>
        </w:rPr>
        <w:t xml:space="preserve">4. Меры защиты</w:t>
      </w:r>
    </w:p>
    <w:p>
      <w:pPr>
        <w:spacing w:before="0" w:after="80"/>
        <w:jc w:val="both"/>
      </w:pPr>
      <w:r>
        <w:t xml:space="preserve">4.1. Организация применяет правовые, организационные и технические меры (ст. 18.1, 19 закона № 152-ФЗ): определяет угрозы и уровень защищённости информационных систем (постановление Правительства РФ № 1119), ограничивает доступ, ведёт учёт носителей, использует средства защиты информации, обучает работников. Перечень лиц, допущенных к обработке, утверждается приказом.</w:t>
      </w:r>
    </w:p>
    <w:p>
      <w:pPr>
        <w:spacing w:before="0" w:after="80"/>
        <w:jc w:val="both"/>
      </w:pPr>
      <w:r>
        <w:t xml:space="preserve">4.2. При сборе данных граждан РФ их запись, систематизация, накопление, хранение, уточнение и извлечение осуществляются с использованием баз данных, находящихся на территории РФ (ч. 5 ст. 18 закона № 152-ФЗ). Трансграничная передача — после уведомления Роскомнадзора (ст. 12).</w:t>
      </w:r>
    </w:p>
    <w:p>
      <w:pPr>
        <w:keepNext/>
        <w:spacing w:before="200" w:after="100"/>
        <w:jc w:val="center"/>
      </w:pPr>
      <w:r>
        <w:rPr>
          <w:b/>
        </w:rPr>
        <w:t xml:space="preserve">5. Инциденты</w:t>
      </w:r>
    </w:p>
    <w:p>
      <w:pPr>
        <w:spacing w:before="0" w:after="80"/>
        <w:jc w:val="both"/>
      </w:pPr>
      <w:r>
        <w:t xml:space="preserve">5.1. О неправомерной или случайной передаче (предоставлении, распространении) персональных данных организация уведомляет Роскомнадзор в течение 24 часов (о самом инциденте, его причинах и вреде), а в течение 72 часов — о результатах внутреннего расследования и виновных лицах (ч. 3.1 ст. 21 закона № 152-ФЗ). Организация также взаимодействует с ГосСОПКА.</w:t>
      </w:r>
    </w:p>
    <w:p>
      <w:pPr>
        <w:keepNext/>
        <w:spacing w:before="200" w:after="100"/>
        <w:jc w:val="center"/>
      </w:pPr>
      <w:r>
        <w:rPr>
          <w:b/>
        </w:rPr>
        <w:t xml:space="preserve">6. Уничтожение</w:t>
      </w:r>
    </w:p>
    <w:p>
      <w:pPr>
        <w:spacing w:before="0" w:after="80"/>
        <w:jc w:val="both"/>
      </w:pPr>
      <w:r>
        <w:t xml:space="preserve">6.1. По достижении целей обработки или истечении сроков хранения данные уничтожаются в течение 30 дней; уничтожение подтверждается актом и выгрузкой из журнала событий в соответствии с требованиями Роскомнадзора.</w:t>
      </w:r>
    </w:p>
    <w:p>
      <w:pPr>
        <w:keepNext/>
        <w:spacing w:before="200" w:after="100"/>
        <w:jc w:val="center"/>
      </w:pPr>
      <w:r>
        <w:rPr>
          <w:b/>
        </w:rPr>
        <w:t xml:space="preserve">7. Ответственность</w:t>
      </w:r>
    </w:p>
    <w:p>
      <w:pPr>
        <w:spacing w:before="0" w:after="80"/>
        <w:jc w:val="both"/>
      </w:pPr>
      <w:r>
        <w:t xml:space="preserve">7.1. Работники, виновные в нарушении правил обработки персональных данных, несут дисциплинарную, материальную, административную и уголовную ответственность. Организация несёт ответственность по ст. 13.11 КоАП РФ, включая повышенные и оборотные штрафы за утечки (с 30.05.2025).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Работники знакомятся с ним под подпись при приёме на работу до подписания трудового договора, а работающие — до вступления в силу (ст. 22, 68 ТК РФ). Условия, ухудшающие положение работников по сравнению с законодательством и коллективным договором, не применяются (ст. 8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работе с персональными данными</dc:title>
  <dc:subject>Образец документа с сайта online-Документы: https://online-document.ru/document/621-polozhenie-o-rabote-s-personalnymi-dannymi/</dc:subject>
  <dc:creator>online-Документы (online-document.ru)</dc:creator>
  <cp:keywords>образец, шаблон, online-document.ru</cp:keywords>
  <dc:description>Источник: https://online-document.ru/document/621-polozhenie-o-rabote-s-personalnymi-dannymi/ © online-Документы. Использование материалов сайта — по правилам: https://online-document.ru/pravila/</dc:description>
  <dc:identifier>https://online-document.ru/document/621-polozhenie-o-rabote-s-personalnymi-dannymi/</dc:identifier>
  <dc:language>ru-RU</dc:language>
  <dcterms:created xsi:type="dcterms:W3CDTF">2026-11-03T11:01:14Z</dcterms:created>
  <dcterms:modified xsi:type="dcterms:W3CDTF">2026-11-03T11:05:53Z</dcterms:modified>
</cp:coreProperties>
</file>