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БЕСПРОЦЕНТНОГО ДЕНЕЖНОГО ЗАЙМА МЕЖДУ ФИЗИЧЕСКИМ И ЮРИДИЧЕСКИМ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Заём беспроцентный: проценты за пользование суммой займа не начисляются (ст. 809 ГК РФ). За просрочку возврата начисляются проценты по ст. 395 ГК РФ (п. 1 ст. 811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spacing w:before="0" w:after="80"/>
        <w:jc w:val="both"/>
      </w:pPr>
      <w:r>
        <w:t xml:space="preserve">2.4. Договор займа, в котором займодавец — юридическое лицо, а также между гражданами на сумму свыше 10 000 ₽ заключается в письменной форме (ст. 808 ГК РФ). Передача денег подтверждается распиской заёмщика или платёжным документом.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денежного займа между физическим и юридическим лицом</dc:title>
  <dc:subject>Образец документа с сайта online-Документы: https://online-document.ru/document/494-dogovor-besprotsentnogo-denezhnogo-zayma-mezhdu-fizicheskim-i-yuridicheskim/</dc:subject>
  <dc:creator>online-Документы (online-document.ru)</dc:creator>
  <cp:keywords>образец, шаблон, online-document.ru</cp:keywords>
  <dc:description>Источник: https://online-document.ru/document/494-dogovor-besprotsentnogo-denezhnogo-zayma-mezhdu-fizicheskim-i-yuridicheskim/ © online-Документы. Использование материалов сайта — по правилам: https://online-document.ru/pravila/</dc:description>
  <dc:identifier>https://online-document.ru/document/494-dogovor-besprotsentnogo-denezhnogo-zayma-mezhdu-fizicheskim-i-yuridicheskim/</dc:identifier>
  <dc:language>ru-RU</dc:language>
  <dcterms:created xsi:type="dcterms:W3CDTF">2026-11-03T11:01:14Z</dcterms:created>
  <dcterms:modified xsi:type="dcterms:W3CDTF">2026-11-03T11:05:53Z</dcterms:modified>
</cp:coreProperties>
</file>