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</w:t>
      </w:r>
      <w:r>
        <w:br/>
      </w:r>
      <w:r>
        <w:rPr>
          <w:b/>
          <w:sz w:val="26"/>
          <w:szCs w:val="26"/>
        </w:rPr>
        <w:t xml:space="preserve">пожизненной ренты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Получатель ренты) и </w:t>
      </w:r>
      <w:r>
        <w:t xml:space="preserve">________</w:t>
      </w:r>
      <w:r>
        <w:t xml:space="preserve"> (далее — Плательщик ренты)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Получатель ренты передаёт в собственность Плательщика ренты </w:t>
      </w:r>
      <w:r>
        <w:t xml:space="preserve">________</w:t>
      </w:r>
      <w:r>
        <w:t xml:space="preserve"> (далее — Имущество), а Плательщик ренты обязуется пожизненно выплачивать Получателю ренты ренту в размере и порядке, установленных договором (ст. 596 ГК РФ).</w:t>
      </w:r>
    </w:p>
    <w:p>
      <w:pPr>
        <w:spacing w:before="0" w:after="80"/>
        <w:jc w:val="both"/>
      </w:pPr>
      <w:r>
        <w:t xml:space="preserve">1.2. Имущество передаётся </w:t>
      </w:r>
      <w:r>
        <w:t xml:space="preserve">________</w:t>
      </w:r>
      <w:r>
        <w:t xml:space="preserve"> (ст. 585 ГК РФ). Принадлежность Имущества Получателю ренты: запись в ЕГРН № </w:t>
      </w:r>
      <w:r>
        <w:t xml:space="preserve">________</w:t>
      </w:r>
      <w:r>
        <w:t xml:space="preserve"> от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1.3. В Имуществе зарегистрированы: </w:t>
      </w:r>
      <w:r>
        <w:t xml:space="preserve">________</w:t>
      </w:r>
      <w:r>
        <w:t xml:space="preserve">. Получатель ренты сохраняет право пожизненного проживания: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2. Размер и порядок выплаты ренты</w:t>
      </w:r>
    </w:p>
    <w:p>
      <w:pPr>
        <w:spacing w:before="0" w:after="80"/>
        <w:jc w:val="both"/>
      </w:pPr>
      <w:r>
        <w:t xml:space="preserve">2.1. Рента выплачивается деньгами ежемесячно в размере </w:t>
      </w:r>
      <w:r>
        <w:t xml:space="preserve">________</w:t>
      </w:r>
      <w:r>
        <w:t xml:space="preserve">, не позднее </w:t>
      </w:r>
      <w:r>
        <w:t xml:space="preserve">________</w:t>
      </w:r>
      <w:r>
        <w:t xml:space="preserve"> числа каждого месяца. Размер ренты в месяц не может быть меньше прожиточного минимума на душу населения в регионе места нахождения Имущества, а если оно не указано — по месту жительства Получателя ренты (п. 2 ст. 597 ГК РФ).</w:t>
      </w:r>
    </w:p>
    <w:p>
      <w:pPr>
        <w:spacing w:before="0" w:after="80"/>
        <w:jc w:val="both"/>
      </w:pPr>
      <w:r>
        <w:t xml:space="preserve">2.2. Размер ренты увеличивается пропорционально увеличению прожиточного минимума (п. 2 ст. 597, ст. 318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3. Обеспечение и риски</w:t>
      </w:r>
    </w:p>
    <w:p>
      <w:pPr>
        <w:spacing w:before="0" w:after="80"/>
        <w:jc w:val="both"/>
      </w:pPr>
      <w:r>
        <w:t xml:space="preserve">3.1. В обеспечение обязательства Плательщика ренты у Получателя ренты возникает право залога на Имущество (ст. 587 ГК РФ); залог регистрируется в ЕГРН одновременно с переходом права.</w:t>
      </w:r>
    </w:p>
    <w:p>
      <w:pPr>
        <w:spacing w:before="0" w:after="80"/>
        <w:jc w:val="both"/>
      </w:pPr>
      <w:r>
        <w:t xml:space="preserve">3.2. Плательщик ренты </w:t>
      </w:r>
      <w:r>
        <w:t xml:space="preserve">________</w:t>
      </w:r>
      <w:r>
        <w:t xml:space="preserve"> риск ответственности за неисполнение обязательств (ст. 587 ГК РФ). Случайная гибель Имущества не освобождает Плательщика ренты от выплат (ст. 600 ГК РФ).</w:t>
      </w:r>
    </w:p>
    <w:p>
      <w:pPr>
        <w:spacing w:before="0" w:after="80"/>
        <w:jc w:val="both"/>
      </w:pPr>
      <w:r>
        <w:t xml:space="preserve">3.3. При существенном нарушении договора Плательщиком ренты Получатель ренты вправе потребовать возврата Имущества с зачётом его стоимости в счёт выкупной цены либо выплаты выкупной цены (п. 2 ст. 599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Форма, регистрация, расходы</w:t>
      </w:r>
    </w:p>
    <w:p>
      <w:pPr>
        <w:spacing w:before="0" w:after="80"/>
        <w:jc w:val="both"/>
      </w:pPr>
      <w:r>
        <w:t xml:space="preserve">4.1. Договор подлежит нотариальному удостоверению (ст. 584 ГК РФ). Переход права собственности на Имущество и залог в пользу Получателя ренты регистрируются в ЕГРН; заявление подаёт нотариус.</w:t>
      </w:r>
    </w:p>
    <w:p>
      <w:pPr>
        <w:spacing w:before="0" w:after="80"/>
        <w:jc w:val="both"/>
      </w:pPr>
      <w:r>
        <w:t xml:space="preserve">4.2. Расходы по удостоверению и регистрации несёт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p>
      <w:pPr>
        <w:spacing w:before="0" w:after="80"/>
        <w:jc w:val="both"/>
      </w:pPr>
      <w:r>
        <w:t xml:space="preserve">4.3. Договор составлен в количестве экземпляров, определённом нотариусом.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Получатель ренты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Плательщик ренты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пожизненной ренты, заключаемый между физическими лицами</dc:title>
  <dc:subject>Образец документа с сайта online-Документы: https://online-document.ru/document/490-dogovor-pozhiznennoy-renty-zaklyuchaemyy-mezhdu-fizicheskimi-litsami/</dc:subject>
  <dc:creator>online-Документы (online-document.ru)</dc:creator>
  <cp:keywords>образец, шаблон, online-document.ru</cp:keywords>
  <dc:description>Источник: https://online-document.ru/document/490-dogovor-pozhiznennoy-renty-zaklyuchaemyy-mezhdu-fizicheskimi-litsami/ © online-Документы. Использование материалов сайта — по правилам: https://online-document.ru/pravila/</dc:description>
  <dc:identifier>https://online-document.ru/document/490-dogovor-pozhiznennoy-renty-zaklyuchaemyy-mezhdu-fizicheskimi-litsami/</dc:identifier>
  <dc:language>ru-RU</dc:language>
  <dcterms:created xsi:type="dcterms:W3CDTF">2026-11-03T11:01:14Z</dcterms:created>
  <dcterms:modified xsi:type="dcterms:W3CDTF">2026-11-03T11:05:53Z</dcterms:modified>
</cp:coreProperties>
</file>