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</w:t>
      </w:r>
      <w:r>
        <w:rPr>
          <w:b/>
          <w:sz w:val="26"/>
          <w:szCs w:val="26"/>
        </w:rPr>
        <w:t xml:space="preserve">________</w:t>
      </w:r>
      <w:r>
        <w:br/>
      </w:r>
      <w:r>
        <w:rPr>
          <w:b/>
          <w:sz w:val="26"/>
          <w:szCs w:val="26"/>
        </w:rPr>
        <w:t xml:space="preserve">об отчуждении исключительного права на товарный знак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________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</w:t>
      </w:r>
      <w:r>
        <w:t xml:space="preserve"> (далее — Правообладатель), в лице </w:t>
      </w:r>
      <w:r>
        <w:t xml:space="preserve">________</w:t>
      </w:r>
      <w:r>
        <w:t xml:space="preserve">, и </w:t>
      </w:r>
      <w:r>
        <w:t xml:space="preserve">________</w:t>
      </w:r>
      <w:r>
        <w:t xml:space="preserve"> (далее — Приобретатель), в лице </w:t>
      </w:r>
      <w:r>
        <w:t xml:space="preserve">________</w:t>
      </w:r>
      <w:r>
        <w:t xml:space="preserve">, заключили настоящий договор.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</w:t>
      </w:r>
    </w:p>
    <w:p>
      <w:pPr>
        <w:spacing w:before="0" w:after="80"/>
        <w:jc w:val="both"/>
      </w:pPr>
      <w:r>
        <w:t xml:space="preserve">1.1. Правообладатель передаёт Приобретателю в полном объёме исключительное право на товарный знак по свидетельству Российской Федерации № </w:t>
      </w:r>
      <w:r>
        <w:t xml:space="preserve">________</w:t>
      </w:r>
      <w:r>
        <w:t xml:space="preserve">, приоритет </w:t>
      </w:r>
      <w:r>
        <w:t xml:space="preserve">________</w:t>
      </w:r>
      <w:r>
        <w:t xml:space="preserve">, срок действия регистрации до </w:t>
      </w:r>
      <w:r>
        <w:t xml:space="preserve">________</w:t>
      </w:r>
      <w:r>
        <w:t xml:space="preserve"> (далее — Товарный знак), в отношении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1.2. Изображение Товарного знака и перечень товаров (услуг) — Приложение № 1.</w:t>
      </w:r>
    </w:p>
    <w:p>
      <w:pPr>
        <w:spacing w:before="0" w:after="80"/>
        <w:jc w:val="both"/>
      </w:pPr>
      <w:r>
        <w:t xml:space="preserve">1.3. Отчуждение в отношении части товаров (услуг) не допускается, если оно может ввести потребителя в заблуждение относительно товара или его изготовителя (п. 2 ст. 1488 ГК РФ).</w:t>
      </w:r>
    </w:p>
    <w:p>
      <w:pPr>
        <w:keepNext/>
        <w:spacing w:before="200" w:after="100"/>
        <w:jc w:val="center"/>
      </w:pPr>
      <w:r>
        <w:rPr>
          <w:b/>
        </w:rPr>
        <w:t xml:space="preserve">2. Вознаграждение</w:t>
      </w:r>
    </w:p>
    <w:p>
      <w:pPr>
        <w:spacing w:before="0" w:after="80"/>
        <w:jc w:val="both"/>
      </w:pPr>
      <w:r>
        <w:t xml:space="preserve">2.1. Приобретатель выплачивает Правообладателю </w:t>
      </w:r>
      <w:r>
        <w:t xml:space="preserve">________</w:t>
      </w:r>
      <w:r>
        <w:t xml:space="preserve">, в том числе НДС </w:t>
      </w:r>
      <w:r>
        <w:t xml:space="preserve">________</w:t>
      </w:r>
      <w:r>
        <w:t xml:space="preserve">, в срок </w:t>
      </w:r>
      <w:r>
        <w:t xml:space="preserve">________</w:t>
      </w:r>
      <w:r>
        <w:t xml:space="preserve">. Между коммерческими организациями отчуждение не может быть безвозмездным (подп. 4 п. 1 ст. 575 ГК РФ).</w:t>
      </w:r>
    </w:p>
    <w:p>
      <w:pPr>
        <w:keepNext/>
        <w:spacing w:before="200" w:after="100"/>
        <w:jc w:val="center"/>
      </w:pPr>
      <w:r>
        <w:rPr>
          <w:b/>
        </w:rPr>
        <w:t xml:space="preserve">3. Государственная регистрация</w:t>
      </w:r>
    </w:p>
    <w:p>
      <w:pPr>
        <w:spacing w:before="0" w:after="80"/>
        <w:jc w:val="both"/>
      </w:pPr>
      <w:r>
        <w:t xml:space="preserve">3.1. Переход исключительного права подлежит государственной регистрации в Роспатенте (ст. 1232, 1490 ГК РФ). Заявление подаёт </w:t>
      </w:r>
      <w:r>
        <w:t xml:space="preserve">________</w:t>
      </w:r>
      <w:r>
        <w:t xml:space="preserve"> в течение </w:t>
      </w:r>
      <w:r>
        <w:t xml:space="preserve">________</w:t>
      </w:r>
      <w:r>
        <w:t xml:space="preserve"> рабочих дней; пошлину уплачивает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3.2. Исключительное право переходит к Приобретателю в момент государственной регистрации перехода (п. 4 ст. 1234 ГК РФ).</w:t>
      </w:r>
    </w:p>
    <w:p>
      <w:pPr>
        <w:keepNext/>
        <w:spacing w:before="200" w:after="100"/>
        <w:jc w:val="center"/>
      </w:pPr>
      <w:r>
        <w:rPr>
          <w:b/>
        </w:rPr>
        <w:t xml:space="preserve">4. Гарантии</w:t>
      </w:r>
    </w:p>
    <w:p>
      <w:pPr>
        <w:spacing w:before="0" w:after="80"/>
        <w:jc w:val="both"/>
      </w:pPr>
      <w:r>
        <w:t xml:space="preserve">4.1. Правообладатель гарантирует, что Товарный знак действует, право не обременено залогом, не предоставлены лицензии, кроме: </w:t>
      </w:r>
      <w:r>
        <w:t xml:space="preserve">________</w:t>
      </w:r>
      <w:r>
        <w:t xml:space="preserve">, а споров о прекращении правовой охраны нет. Действующие лицензии сохраняют силу (п. 7 ст. 1235 ГК РФ — если иное не согласовано с лицензиатом).</w:t>
      </w:r>
    </w:p>
    <w:p>
      <w:pPr>
        <w:spacing w:before="0" w:after="80"/>
        <w:jc w:val="both"/>
      </w:pPr>
      <w:r>
        <w:t xml:space="preserve">4.2. При нарушении гарантий Приобретатель вправе требовать возврата вознаграждения и возмещения убытков.</w:t>
      </w:r>
    </w:p>
    <w:p>
      <w:pPr>
        <w:keepNext/>
        <w:spacing w:before="200" w:after="100"/>
        <w:jc w:val="center"/>
      </w:pPr>
      <w:r>
        <w:rPr>
          <w:b/>
        </w:rPr>
        <w:t xml:space="preserve">5. Заключительные положения</w:t>
      </w:r>
    </w:p>
    <w:p>
      <w:pPr>
        <w:spacing w:before="0" w:after="80"/>
        <w:jc w:val="both"/>
      </w:pPr>
      <w:r>
        <w:t xml:space="preserve">Споры разрешаются путём переговоров и претензий (срок ответа — 10 рабочих дней), а затем в суде. Для споров между организациями и индивидуальными предпринимателями претензионный порядок обязателен (ч. 5 ст. 4 АПК РФ); споры о защите интеллектуальных прав подсудны арбитражному суду или суду общей юрисдикции по общим правилам.</w:t>
      </w:r>
    </w:p>
    <w:p>
      <w:pPr>
        <w:spacing w:before="0" w:after="80"/>
        <w:jc w:val="both"/>
      </w:pPr>
      <w:r>
        <w:t xml:space="preserve">5.1. Договор составлен в </w:t>
      </w:r>
      <w:r>
        <w:t xml:space="preserve">________</w:t>
      </w:r>
      <w:r>
        <w:t xml:space="preserve"> экземплярах, один из которых — для Роспатента.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Правообладатель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Приобретатель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уступки (отчуждения) товарного знака</dc:title>
  <dc:subject>Образец документа с сайта online-Документы: https://online-document.ru/document/48-dogovor-ustupki-otchuzhdeniya-tovarnogo-znaka/</dc:subject>
  <dc:creator>online-Документы (online-document.ru)</dc:creator>
  <cp:keywords>образец, шаблон, online-document.ru</cp:keywords>
  <dc:description>Источник: https://online-document.ru/document/48-dogovor-ustupki-otchuzhdeniya-tovarnogo-znaka/ © online-Документы. Использование материалов сайта — по правилам: https://online-document.ru/pravila/</dc:description>
  <dc:identifier>https://online-document.ru/document/48-dogovor-ustupki-otchuzhdeniya-tovarnogo-znaka/</dc:identifier>
  <dc:language>ru-RU</dc:language>
  <dcterms:created xsi:type="dcterms:W3CDTF">2026-11-03T11:01:14Z</dcterms:created>
  <dcterms:modified xsi:type="dcterms:W3CDTF">2026-11-03T11:05:53Z</dcterms:modified>
</cp:coreProperties>
</file>