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ВАГОНОВ,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Арендатор своими силами управляет транспортным средством (техникой), несёт расходы на содержание, страхование (в том числе ОСАГО) и эксплуатацию (ст. 642, 645, 646 ГК РФ), если договором не установлено иное.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вагонов, заключаемый между юридическими лицами</dc:title>
  <dc:subject>Образец документа с сайта online-Документы: https://online-document.ru/document/416-dogovor-arendy-vagonov-zaklyuchaemyy-mezhdu-yuridicheskimi-litsami/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https://online-document.ru/document/416-dogovor-arendy-vagonov-zaklyuchaemyy-mezhdu-yuridicheskimi-litsami/ © online-Документы. Использование материалов сайта — по правилам: https://online-document.ru/pravila/</dc:description>
  <dc:identifier>https://online-document.ru/document/416-dogovor-arendy-vagonov-zaklyuchaemyy-mezhdu-yuridicheskimi-litsami/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