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главным бухгалтером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spacing w:before="0" w:after="80"/>
        <w:jc w:val="both"/>
      </w:pPr>
      <w:r>
        <w:t xml:space="preserve">4.3. Работник несёт материальную ответственность в полном размере причинённого работодателю прямого действительного ущерба (ч. 2 ст. 243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</dc:title>
  <dc:subject>Образец документа с сайта online-Документы: https://online-document.ru/document/370-trudovoy-dogovor-s-glavnym-buhgalterom/</dc:subject>
  <dc:creator>online-Документы (online-document.ru)</dc:creator>
  <cp:keywords>образец, шаблон, online-document.ru</cp:keywords>
  <dc:description>Источник: https://online-document.ru/document/370-trudovoy-dogovor-s-glavnym-buhgalterom/ © online-Документы. Использование материалов сайта — по правилам: https://online-document.ru/pravila/</dc:description>
  <dc:identifier>https://online-document.ru/document/370-trudovoy-dogovor-s-glavnym-buhgalterom/</dc:identifier>
  <dc:language>ru-RU</dc:language>
  <dcterms:created xsi:type="dcterms:W3CDTF">2026-11-03T11:01:14Z</dcterms:created>
  <dcterms:modified xsi:type="dcterms:W3CDTF">2026-11-03T11:05:53Z</dcterms:modified>
</cp:coreProperties>
</file>