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УТВЕРЖДЕНО</w:t>
      </w:r>
      <w:r>
        <w:br/>
      </w:r>
      <w:r>
        <w:t xml:space="preserve">решением </w:t>
      </w:r>
      <w:r>
        <w:t xml:space="preserve">________</w:t>
      </w:r>
      <w:r>
        <w:br/>
      </w:r>
      <w:r>
        <w:t xml:space="preserve">акционерного общества «</w:t>
      </w:r>
      <w:r>
        <w:t xml:space="preserve">________</w:t>
      </w:r>
      <w:r>
        <w:t xml:space="preserve">»</w:t>
      </w:r>
      <w:r>
        <w:br/>
      </w:r>
      <w:r>
        <w:t xml:space="preserve">от </w:t>
      </w:r>
      <w:r>
        <w:t xml:space="preserve">________</w:t>
      </w:r>
      <w:r>
        <w:t xml:space="preserve"> (протокол № </w:t>
      </w:r>
      <w:r>
        <w:t xml:space="preserve">________</w:t>
      </w:r>
      <w:r>
        <w:t xml:space="preserve">)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ПОЛОЖЕНИЕ</w:t>
      </w:r>
      <w:r>
        <w:br/>
      </w:r>
      <w:r>
        <w:rPr>
          <w:b/>
          <w:sz w:val="26"/>
          <w:szCs w:val="26"/>
        </w:rPr>
        <w:t xml:space="preserve">о порядке увеличения (уменьшения) уставного капитала акционерного общества «</w:t>
      </w:r>
      <w:r>
        <w:rPr>
          <w:b/>
          <w:sz w:val="26"/>
          <w:szCs w:val="26"/>
        </w:rPr>
        <w:t xml:space="preserve">________</w:t>
      </w:r>
      <w:r>
        <w:rPr>
          <w:b/>
          <w:sz w:val="26"/>
          <w:szCs w:val="26"/>
        </w:rPr>
        <w:t xml:space="preserve">»</w:t>
      </w:r>
    </w:p>
    <w:p>
      <w:pPr>
        <w:keepNext/>
        <w:spacing w:before="200" w:after="100"/>
        <w:jc w:val="center"/>
      </w:pPr>
      <w:r>
        <w:rPr>
          <w:b/>
        </w:rPr>
        <w:t xml:space="preserve">1. Увеличение уставного капитала</w:t>
      </w:r>
    </w:p>
    <w:p>
      <w:pPr>
        <w:spacing w:before="0" w:after="80"/>
        <w:jc w:val="both"/>
      </w:pPr>
      <w:r>
        <w:t xml:space="preserve">1.1. Уставный капитал увеличивается путём увеличения номинальной стоимости акций или размещения дополнительных акций (ст. 28 закона № 208-ФЗ). Дополнительные акции размещаются только в пределах объявленных акций, предусмотренных уставом.</w:t>
      </w:r>
    </w:p>
    <w:p>
      <w:pPr>
        <w:spacing w:before="0" w:after="80"/>
        <w:jc w:val="both"/>
      </w:pPr>
      <w:r>
        <w:t xml:space="preserve">1.2. Решение об увеличении путём увеличения номинала принимает общее собрание акционеров. Решение о размещении дополнительных акций принимает общее собрание или совет директоров, если это предусмотрено уставом (кроме случаев, когда закон относит решение к компетенции общего собрания — например, при закрытой подписке).</w:t>
      </w:r>
    </w:p>
    <w:p>
      <w:pPr>
        <w:spacing w:before="0" w:after="80"/>
        <w:jc w:val="both"/>
      </w:pPr>
      <w:r>
        <w:t xml:space="preserve">1.3. Решение о размещении содержит количество акций, способ размещения (подписка, конвертация, распределение среди акционеров), цену или порядок её определения, форму оплаты. Цена размещения при подписке определяется не ниже рыночной (ст. 36, 77 закона № 208-ФЗ) и не ниже номинала.</w:t>
      </w:r>
    </w:p>
    <w:p>
      <w:pPr>
        <w:spacing w:before="0" w:after="80"/>
        <w:jc w:val="both"/>
      </w:pPr>
      <w:r>
        <w:t xml:space="preserve">1.4. Акционеры имеют преимущественное право приобретения дополнительных акций в случаях и порядке ст. 40, 41 закона № 208-ФЗ.</w:t>
      </w:r>
    </w:p>
    <w:p>
      <w:pPr>
        <w:spacing w:before="0" w:after="80"/>
        <w:jc w:val="both"/>
      </w:pPr>
      <w:r>
        <w:t xml:space="preserve">1.5. Выпуск дополнительных акций подлежит регистрации </w:t>
      </w:r>
      <w:r>
        <w:t xml:space="preserve">________</w:t>
      </w:r>
      <w:r>
        <w:t xml:space="preserve">; изменения в устав вносятся по итогам размещения на основании зарегистрированного отчёта (уведомления) об итогах выпуска.</w:t>
      </w:r>
    </w:p>
    <w:p>
      <w:pPr>
        <w:keepNext/>
        <w:spacing w:before="200" w:after="100"/>
        <w:jc w:val="center"/>
      </w:pPr>
      <w:r>
        <w:rPr>
          <w:b/>
        </w:rPr>
        <w:t xml:space="preserve">2. Уменьшение уставного капитала</w:t>
      </w:r>
    </w:p>
    <w:p>
      <w:pPr>
        <w:spacing w:before="0" w:after="80"/>
        <w:jc w:val="both"/>
      </w:pPr>
      <w:r>
        <w:t xml:space="preserve">2.1. Уставный капитал уменьшается путём уменьшения номинала акций или сокращения их общего количества, в том числе путём приобретения части акций обществом (ст. 29 закона № 208-ФЗ). Общество обязано уменьшить капитал в случаях, предусмотренных законом (непогашение собственных акций, стоимость чистых активов ниже уставного капитала по итогам второго и каждого последующего года).</w:t>
      </w:r>
    </w:p>
    <w:p>
      <w:pPr>
        <w:spacing w:before="0" w:after="80"/>
        <w:jc w:val="both"/>
      </w:pPr>
      <w:r>
        <w:t xml:space="preserve">2.2. Общество не вправе уменьшать уставный капитал, если в результате он станет меньше минимального размера: 100 000 ₽ для публичного и 10 000 ₽ для непубличного общества (ст. 26 закона № 208-ФЗ).</w:t>
      </w:r>
    </w:p>
    <w:p>
      <w:pPr>
        <w:spacing w:before="0" w:after="80"/>
        <w:jc w:val="both"/>
      </w:pPr>
      <w:r>
        <w:t xml:space="preserve">2.3. В течение трёх рабочих дней после принятия решения общество сообщает о нём в регистрирующий орган, а затем дважды с периодичностью один раз в месяц размещает уведомление в «Вестнике государственной регистрации». Кредиторы вправе в течение 30 дней с даты последнего уведомления потребовать досрочного исполнения обязательств или возмещения убытков (ст. 30 закона № 208-ФЗ).</w:t>
      </w:r>
    </w:p>
    <w:p>
      <w:pPr>
        <w:spacing w:before="0" w:after="80"/>
        <w:jc w:val="both"/>
      </w:pPr>
      <w:r>
        <w:t xml:space="preserve">2.4. Изменения в устав, связанные с уменьшением капитала, регистрируются после истечения сроков, установленных для требований кредиторов.</w:t>
      </w:r>
    </w:p>
    <w:p>
      <w:pPr>
        <w:keepNext/>
        <w:spacing w:before="200" w:after="100"/>
        <w:jc w:val="center"/>
      </w:pPr>
      <w:r>
        <w:rPr>
          <w:b/>
        </w:rPr>
        <w:t xml:space="preserve">Заключительные положения</w:t>
      </w:r>
    </w:p>
    <w:p>
      <w:pPr>
        <w:spacing w:before="0" w:after="80"/>
        <w:jc w:val="both"/>
      </w:pPr>
      <w:r>
        <w:t xml:space="preserve">Положение вступает в силу с даты утверждения. Если в результате изменения законодательства или устава отдельные пункты вступают с ними в противоречие, они утрачивают силу, и до внесения изменений применяются нормы закона и устава.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порядке увеличения (уменьшения) уставного капитала акционерного общества</dc:title>
  <dc:subject>Образец документа с сайта online-Документы: https://online-document.ru/document/314-polozhenie-o-poryadke-uvelicheniya-umensheniya-ustavnogo-kapitala-aktsionernogo/</dc:subject>
  <dc:creator>online-Документы (online-document.ru)</dc:creator>
  <cp:keywords>образец, шаблон, online-document.ru</cp:keywords>
  <dc:description>Источник: https://online-document.ru/document/314-polozhenie-o-poryadke-uvelicheniya-umensheniya-ustavnogo-kapitala-aktsionernogo/ © online-Документы. Использование материалов сайта — по правилам: https://online-document.ru/pravila/</dc:description>
  <dc:identifier>https://online-document.ru/document/314-polozhenie-o-poryadke-uvelicheniya-umensheniya-ustavnogo-kapitala-aktsionernogo/</dc:identifier>
  <dc:language>ru-RU</dc:language>
  <dcterms:created xsi:type="dcterms:W3CDTF">2026-11-03T11:01:14Z</dcterms:created>
  <dcterms:modified xsi:type="dcterms:W3CDTF">2026-11-03T11:05:53Z</dcterms:modified>
</cp:coreProperties>
</file>