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________</w:t>
      </w:r>
      <w:r>
        <w:br/>
      </w:r>
      <w:r>
        <w:t xml:space="preserve">Заявитель: ________</w:t>
      </w:r>
      <w:r>
        <w:br/>
      </w:r>
      <w:r>
        <w:t xml:space="preserve">Лицо, чьи действия обжалуются: 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ЖАЛОБА НА ОПРЕДЕЛЕНИЕ СУДА ПО ГРАЖДАНСКОМУ ДЕЛУ</w:t>
      </w:r>
    </w:p>
    <w:p>
      <w:pPr>
        <w:spacing w:before="0" w:after="80"/>
        <w:jc w:val="both"/>
      </w:pPr>
      <w:r>
        <w:t xml:space="preserve">«___» __________ 20__ г. вынесен акт (совершено действие), который заявитель считает незаконным: ________.</w:t>
      </w:r>
    </w:p>
    <w:p>
      <w:pPr>
        <w:spacing w:before="0" w:after="80"/>
        <w:jc w:val="both"/>
      </w:pPr>
      <w:r>
        <w:t xml:space="preserve">Указанным актом нарушены права заявителя: ________ (обстоятельства и доказательства). Нарушены нормы: ________.</w:t>
      </w:r>
    </w:p>
    <w:p>
      <w:pPr>
        <w:spacing w:before="0" w:after="80"/>
        <w:jc w:val="both"/>
      </w:pPr>
      <w:r>
        <w:t xml:space="preserve">Срок обжалования соблюдён: частная жалоба на определение суда — 15 дней со дня его вынесения (ст. 332 ГПК РФ).</w:t>
      </w:r>
    </w:p>
    <w:p>
      <w:pPr>
        <w:spacing w:before="0" w:after="80"/>
        <w:jc w:val="center"/>
      </w:pPr>
      <w:r>
        <w:rPr>
          <w:b/>
        </w:rPr>
        <w:t xml:space="preserve">ПРОШУ:</w:t>
      </w:r>
    </w:p>
    <w:p>
      <w:pPr>
        <w:spacing w:before="0" w:after="80"/>
        <w:jc w:val="both"/>
      </w:pPr>
      <w:r>
        <w:t xml:space="preserve">Отменить обжалуемый акт (признать действия незаконными) и принять новое решение: ________.</w:t>
      </w:r>
    </w:p>
    <w:p>
      <w:pPr>
        <w:spacing w:before="0" w:after="80"/>
        <w:jc w:val="both"/>
      </w:pPr>
      <w:r>
        <w:rPr>
          <w:i/>
        </w:rPr>
        <w:t xml:space="preserve">Госпошлина с 08.09.2024: апелляционная жалоба — 3 000 ₽ для граждан и 15 000 ₽ для организаций; кассационная — 5 000 ₽ и 20 000 ₽ (ст. 333.19, 333.21 НК РФ). По уголовным делам госпошлина не уплачивается.</w:t>
      </w:r>
    </w:p>
    <w:p>
      <w:pPr>
        <w:spacing w:before="0" w:after="80"/>
        <w:jc w:val="both"/>
      </w:pPr>
      <w:r>
        <w:rPr>
          <w:b/>
        </w:rPr>
        <w:t xml:space="preserve">Приложения:</w:t>
      </w:r>
      <w:r>
        <w:t xml:space="preserve"> копия обжалуемого акта; документ об уплате госпошлины (если требуется); документ о направлении копий участникам.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«___» __________ 20__ г.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 / 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определение суда по гражданскому делу</dc:title>
  <dc:subject>Образец документа с сайта online-Документы: https://online-document.ru/document/264-zhaloba-na-opredelenie-suda-po-grazhdanskomu-delu/</dc:subject>
  <dc:creator>online-Документы (online-document.ru)</dc:creator>
  <cp:keywords>образец, шаблон, online-document.ru</cp:keywords>
  <dc:description>Источник: https://online-document.ru/document/264-zhaloba-na-opredelenie-suda-po-grazhdanskomu-delu/ © online-Документы. Использование материалов сайта — по правилам: https://online-document.ru/pravila/</dc:description>
  <dc:identifier>https://online-document.ru/document/264-zhaloba-na-opredelenie-suda-po-grazhdanskomu-delu/</dc:identifier>
  <dc:language>ru-RU</dc:language>
  <dcterms:created xsi:type="dcterms:W3CDTF">2026-11-03T11:01:14Z</dcterms:created>
  <dcterms:modified xsi:type="dcterms:W3CDTF">2026-11-03T11:05:53Z</dcterms:modified>
</cp:coreProperties>
</file>