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публичного 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правлении </w:t>
      </w:r>
      <w:r>
        <w:rPr>
          <w:b/>
          <w:sz w:val="26"/>
          <w:szCs w:val="26"/>
        </w:rP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Правление — коллегиальный исполнительный орган банка, осуществляющий наряду с председателем правления руководство текущей деятельностью (ст. 69, 70 закона № 208-ФЗ, ст. 11.1 закона № 395-1).</w:t>
      </w:r>
    </w:p>
    <w:p>
      <w:pPr>
        <w:spacing w:before="0" w:after="80"/>
        <w:jc w:val="both"/>
      </w:pPr>
      <w:r>
        <w:t xml:space="preserve">1.2. Члены правления избираются </w:t>
      </w:r>
      <w:r>
        <w:t xml:space="preserve">________</w:t>
      </w:r>
      <w:r>
        <w:t xml:space="preserve"> в количестве </w:t>
      </w:r>
      <w:r>
        <w:t xml:space="preserve">________</w:t>
      </w:r>
      <w:r>
        <w:t xml:space="preserve"> человек на срок </w:t>
      </w:r>
      <w:r>
        <w:t xml:space="preserve">________</w:t>
      </w:r>
      <w:r>
        <w:t xml:space="preserve">. Председатель правления осуществляет функции единоличного исполнительного органа.</w:t>
      </w:r>
    </w:p>
    <w:p>
      <w:pPr>
        <w:spacing w:before="0" w:after="80"/>
        <w:jc w:val="both"/>
      </w:pPr>
      <w:r>
        <w:t xml:space="preserve">1.3. Кандидаты в члены правления должны соответствовать квалификационным требованиям и требованиям к деловой репутации, установленным законом и нормативными актами Банка России; их кандидатуры подлежат предварительному согласованию с Банком России. Банк уведомляет Банк России об избрании (освобождении) членов правления в установленный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Правление решает вопросы текущей деятельности, не отнесённые к компетенции общего собрания, совета директоров и председателя правления, в том числе: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Правление обеспечивает функционирование систем управления рисками и внутреннего контроля, исполнение требований законодательства о противодействии легализации доходов (закон № 115-ФЗ), обязательных нормативов Банка России.</w:t>
      </w:r>
    </w:p>
    <w:p>
      <w:pPr>
        <w:keepNext/>
        <w:spacing w:before="200" w:after="100"/>
        <w:jc w:val="center"/>
      </w:pPr>
      <w:r>
        <w:rPr>
          <w:b/>
        </w:rPr>
        <w:t xml:space="preserve">3. Заседания</w:t>
      </w:r>
    </w:p>
    <w:p>
      <w:pPr>
        <w:spacing w:before="0" w:after="80"/>
        <w:jc w:val="both"/>
      </w:pPr>
      <w:r>
        <w:t xml:space="preserve">3.1. Заседания проводятся не реже </w:t>
      </w:r>
      <w:r>
        <w:t xml:space="preserve">________</w:t>
      </w:r>
      <w:r>
        <w:t xml:space="preserve">; кворум — не менее </w:t>
      </w:r>
      <w:r>
        <w:t xml:space="preserve">________</w:t>
      </w:r>
      <w:r>
        <w:t xml:space="preserve"> членов. Решения принимаются большинством голосов присутствующих; при равенстве голосов решающий голос — у председателя правления.</w:t>
      </w:r>
    </w:p>
    <w:p>
      <w:pPr>
        <w:spacing w:before="0" w:after="80"/>
        <w:jc w:val="both"/>
      </w:pPr>
      <w:r>
        <w:t xml:space="preserve">3.2. Протоколы заседаний представляются членам совета директоров, ревизионной комиссии, аудитору по их требованию (ст. 70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Члены правления несут ответственность перед банком за убытки, причинённые их виновными действиями (ст. 71 закона № 208-ФЗ), а также ответственность, предусмотренную банковским законодательством, включая возможность требования Банка России о замене руководителей.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коммерческого банка в форме публичного акционерного общества</dc:title>
  <dc:subject>Образец документа с сайта online-Документы: https://online-document.ru/document/236-polozhenie-o-pravlenii-kommercheskogo-banka-v-forme-publichnogo-aktsionernogo/</dc:subject>
  <dc:creator>online-Документы (online-document.ru)</dc:creator>
  <cp:keywords>образец, шаблон, online-document.ru</cp:keywords>
  <dc:description>Источник: https://online-document.ru/document/236-polozhenie-o-pravlenii-kommercheskogo-banka-v-forme-publichnogo-aktsionernogo/ © online-Документы. Использование материалов сайта — по правилам: https://online-document.ru/pravila/</dc:description>
  <dc:identifier>https://online-document.ru/document/236-polozhenie-o-pravlenii-kommercheskogo-banka-v-forme-publichnogo-aktsionernogo/</dc:identifier>
  <dc:language>ru-RU</dc:language>
  <dcterms:created xsi:type="dcterms:W3CDTF">2026-11-03T11:01:14Z</dcterms:created>
  <dcterms:modified xsi:type="dcterms:W3CDTF">2026-11-03T11:05:53Z</dcterms:modified>
</cp:coreProperties>
</file>