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ДИСТРИБЬЮТОРСКОЕ СОГЛАШЕНИЕ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распространении программного обеспечения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Правообладатель),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Дистрибьютор), в лице </w:t>
      </w:r>
      <w:r>
        <w:t xml:space="preserve">________</w:t>
      </w:r>
      <w:r>
        <w:t xml:space="preserve">, заключили настоящее соглашение.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Правообладатель предоставляет Дистрибьютору на условиях простой (неисключительной) лицензии право распространять экземпляры программы для ЭВМ </w:t>
      </w:r>
      <w:r>
        <w:t xml:space="preserve">________</w:t>
      </w:r>
      <w:r>
        <w:t xml:space="preserve"> (далее — Программа) и предоставлять конечным пользователям права использования Программы по сублицензионным договорам (ст. 1238 ГК РФ).</w:t>
      </w:r>
    </w:p>
    <w:p>
      <w:pPr>
        <w:spacing w:before="0" w:after="80"/>
        <w:jc w:val="both"/>
      </w:pPr>
      <w:r>
        <w:t xml:space="preserve">1.2. Территория: </w:t>
      </w:r>
      <w:r>
        <w:t xml:space="preserve">________</w:t>
      </w:r>
      <w:r>
        <w:t xml:space="preserve">. Каналы продаж: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Сублицензионный договор с конечным пользователем заключается на условиях лицензионного соглашения Правообладателя (Приложение № 1), в том числе в упрощённом порядке (п. 5 ст. 1286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Вознаграждение и цены</w:t>
      </w:r>
    </w:p>
    <w:p>
      <w:pPr>
        <w:spacing w:before="0" w:after="80"/>
        <w:jc w:val="both"/>
      </w:pPr>
      <w:r>
        <w:t xml:space="preserve">2.1. Дистрибьютор уплачивает Правообладателю за каждую предоставленную лицензию </w:t>
      </w:r>
      <w:r>
        <w:t xml:space="preserve">________</w:t>
      </w:r>
      <w:r>
        <w:t xml:space="preserve"> не позднее </w:t>
      </w:r>
      <w:r>
        <w:t xml:space="preserve">________</w:t>
      </w:r>
      <w:r>
        <w:t xml:space="preserve"> на основании ежемесячного отчёта.</w:t>
      </w:r>
    </w:p>
    <w:p>
      <w:pPr>
        <w:spacing w:before="0" w:after="80"/>
        <w:jc w:val="both"/>
      </w:pPr>
      <w:r>
        <w:t xml:space="preserve">2.2. Цена для конечных пользователей определяется Дистрибьютором самостоятельно; рекомендуемый прайс-лист носит справочный характер.</w:t>
      </w:r>
    </w:p>
    <w:p>
      <w:pPr>
        <w:spacing w:before="0" w:after="80"/>
        <w:jc w:val="both"/>
      </w:pPr>
      <w:r>
        <w:t xml:space="preserve">2.3.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сторон</w:t>
      </w:r>
    </w:p>
    <w:p>
      <w:pPr>
        <w:spacing w:before="0" w:after="80"/>
        <w:jc w:val="both"/>
      </w:pPr>
      <w:r>
        <w:t xml:space="preserve">3.1. Правообладатель передаёт дистрибутивы, лицензионные ключи и маркетинговые материалы, обеспечивает техническую поддержку второго уровня.</w:t>
      </w:r>
    </w:p>
    <w:p>
      <w:pPr>
        <w:spacing w:before="0" w:after="80"/>
        <w:jc w:val="both"/>
      </w:pPr>
      <w:r>
        <w:t xml:space="preserve">3.2. Дистрибьютор ежемесячно до </w:t>
      </w:r>
      <w:r>
        <w:t xml:space="preserve">________</w:t>
      </w:r>
      <w:r>
        <w:t xml:space="preserve"> представляет отчёт: число и вид лицензий, пользователи (наименование, ИНН), сроки. Дистрибьютор не вправе изменять Программу, удалять сведения о правообладателе, предоставлять права шире, чем ему предоставлено.</w:t>
      </w:r>
    </w:p>
    <w:p>
      <w:pPr>
        <w:keepNext/>
        <w:spacing w:before="200" w:after="100"/>
        <w:jc w:val="center"/>
      </w:pPr>
      <w:r>
        <w:rPr>
          <w:b/>
        </w:rPr>
        <w:t xml:space="preserve">4. Срок и ответственность</w:t>
      </w:r>
    </w:p>
    <w:p>
      <w:pPr>
        <w:spacing w:before="0" w:after="80"/>
        <w:jc w:val="both"/>
      </w:pPr>
      <w:r>
        <w:t xml:space="preserve">4.1. Соглашение действует до </w:t>
      </w:r>
      <w:r>
        <w:t xml:space="preserve">________</w:t>
      </w:r>
      <w:r>
        <w:t xml:space="preserve">; если срок не указан — пять лет (п. 4 ст. 1235 ГК РФ).</w:t>
      </w:r>
    </w:p>
    <w:p>
      <w:pPr>
        <w:spacing w:before="0" w:after="80"/>
        <w:jc w:val="both"/>
      </w:pPr>
      <w:r>
        <w:t xml:space="preserve">4.2. Предоставление прав за пределами соглашения — нарушение исключительного права (п. 3 ст. 1237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затем в суде. Для споров между организациями и индивидуальными предпринимателями претензионный порядок обязателен (ч. 5 ст. 4 АПК РФ); споры о защите интеллектуальных прав подсудны арбитражному суду или суду общей юрисдикции по общим правилам.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Правообладатель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Дистрибьютор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Дистрибьюторское соглашение о передаче программного продукта</dc:title>
  <dc:subject>Образец документа с сайта online-Документы: https://online-document.ru/document/163-distribyutorskoe-soglashenie-o-peredache-programmnogo-produkta/</dc:subject>
  <dc:creator>online-Документы (online-document.ru)</dc:creator>
  <cp:keywords>образец, шаблон, online-document.ru</cp:keywords>
  <dc:description>Источник: https://online-document.ru/document/163-distribyutorskoe-soglashenie-o-peredache-programmnogo-produkta/ © online-Документы. Использование материалов сайта — по правилам: https://online-document.ru/pravila/</dc:description>
  <dc:identifier>https://online-document.ru/document/163-distribyutorskoe-soglashenie-o-peredache-programmnogo-produkta/</dc:identifier>
  <dc:language>ru-RU</dc:language>
  <dcterms:created xsi:type="dcterms:W3CDTF">2026-11-03T11:01:14Z</dcterms:created>
  <dcterms:modified xsi:type="dcterms:W3CDTF">2026-11-03T11:05:53Z</dcterms:modified>
</cp:coreProperties>
</file>